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zvegtrzs1"/>
        <w:shd w:fill="FFFFFF" w:val="clear"/>
        <w:spacing w:lineRule="atLeast" w:line="10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  <w:drawing>
          <wp:inline distT="0" distB="0" distL="19050" distR="9525">
            <wp:extent cx="5762625" cy="112395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zvegtrzs1"/>
        <w:shd w:fill="FFFFFF" w:val="clear"/>
        <w:spacing w:lineRule="atLeast" w:line="10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zvegtrzs1"/>
        <w:shd w:fill="FFFFFF" w:val="clear"/>
        <w:spacing w:lineRule="atLeast" w:line="10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Pedagógiai elveink</w:t>
      </w:r>
    </w:p>
    <w:p>
      <w:pPr>
        <w:pStyle w:val="Szvegtrzs1"/>
        <w:shd w:fill="FFFFFF" w:val="clear"/>
        <w:spacing w:lineRule="atLeast" w:line="100"/>
        <w:jc w:val="both"/>
        <w:rPr/>
      </w:pPr>
      <w:r>
        <w:rPr/>
      </w:r>
    </w:p>
    <w:p>
      <w:pPr>
        <w:pStyle w:val="Szvegtrzs1"/>
        <w:shd w:fill="FFFFFF" w:val="clear"/>
        <w:spacing w:lineRule="atLeast" w:line="100"/>
        <w:jc w:val="both"/>
        <w:rPr/>
      </w:pPr>
      <w:r>
        <w:rPr/>
      </w:r>
    </w:p>
    <w:p>
      <w:pPr>
        <w:pStyle w:val="Szvegtrzs1"/>
        <w:shd w:fill="FFFFFF" w:val="clear"/>
        <w:jc w:val="both"/>
        <w:rPr/>
      </w:pPr>
      <w:r>
        <w:rPr>
          <w:rFonts w:ascii="Times New Roman" w:hAnsi="Times New Roman"/>
          <w:sz w:val="24"/>
          <w:szCs w:val="24"/>
        </w:rPr>
        <w:t xml:space="preserve">Iskolánkban fontos </w:t>
      </w:r>
      <w:r>
        <w:rPr>
          <w:rFonts w:ascii="Times New Roman" w:hAnsi="Times New Roman"/>
          <w:b/>
          <w:bCs/>
          <w:sz w:val="24"/>
          <w:szCs w:val="24"/>
        </w:rPr>
        <w:t>általános cél</w:t>
      </w:r>
      <w:r>
        <w:rPr>
          <w:rFonts w:ascii="Times New Roman" w:hAnsi="Times New Roman"/>
          <w:sz w:val="24"/>
          <w:szCs w:val="24"/>
        </w:rPr>
        <w:t xml:space="preserve">, hogy a </w:t>
      </w:r>
      <w:r>
        <w:rPr>
          <w:rFonts w:ascii="Times New Roman" w:hAnsi="Times New Roman"/>
          <w:b/>
          <w:bCs/>
          <w:sz w:val="24"/>
          <w:szCs w:val="24"/>
        </w:rPr>
        <w:t>gyermek tanuljon meg tanulni, képességeit fejlessze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zvegtrzs1"/>
        <w:shd w:fill="FFFFFF" w:val="clear"/>
        <w:jc w:val="both"/>
        <w:rPr/>
      </w:pPr>
      <w:r>
        <w:rPr/>
      </w:r>
    </w:p>
    <w:p>
      <w:pPr>
        <w:pStyle w:val="Szvegtrzs1"/>
        <w:shd w:fill="FFFFFF" w:val="clear"/>
        <w:ind w:firstLine="645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Önállóság</w:t>
      </w:r>
      <w:r>
        <w:rPr>
          <w:rFonts w:ascii="Times New Roman" w:hAnsi="Times New Roman"/>
          <w:sz w:val="24"/>
          <w:szCs w:val="24"/>
        </w:rPr>
        <w:t xml:space="preserve">: A </w:t>
      </w:r>
      <w:r>
        <w:rPr>
          <w:rFonts w:ascii="Times New Roman" w:hAnsi="Times New Roman"/>
          <w:i/>
          <w:iCs/>
          <w:sz w:val="24"/>
          <w:szCs w:val="24"/>
        </w:rPr>
        <w:t>Montessori pedagógia</w:t>
      </w:r>
      <w:r>
        <w:rPr>
          <w:rFonts w:ascii="Times New Roman" w:hAnsi="Times New Roman"/>
          <w:sz w:val="24"/>
          <w:szCs w:val="24"/>
        </w:rPr>
        <w:t xml:space="preserve"> nyomán az önálló cselekvés által való tanulást részesítjük előnyben, és fontosnak tartjuk, hogy a gyermek önállóan végezze a feladatait, tanulja meg ellenőrizni a munkáját, vállaljon érte felelősséget. A tanulásáért, a haladásáért elsősorban ő maga a felelős.</w:t>
      </w:r>
    </w:p>
    <w:p>
      <w:pPr>
        <w:pStyle w:val="Szvegtrzs1"/>
        <w:shd w:fill="FFFFFF" w:val="clear"/>
        <w:ind w:firstLine="645"/>
        <w:jc w:val="both"/>
        <w:rPr/>
      </w:pPr>
      <w:r>
        <w:rPr/>
      </w:r>
    </w:p>
    <w:p>
      <w:pPr>
        <w:pStyle w:val="Szvegtrzs1"/>
        <w:shd w:fill="FFFFFF" w:val="clear"/>
        <w:ind w:firstLine="645"/>
        <w:jc w:val="both"/>
        <w:rPr/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Kölcsönös tisztelet és együttműködés</w:t>
      </w:r>
      <w:r>
        <w:rPr>
          <w:rFonts w:ascii="Times New Roman" w:hAnsi="Times New Roman"/>
          <w:sz w:val="24"/>
          <w:szCs w:val="24"/>
        </w:rPr>
        <w:t xml:space="preserve">: Fontosnak tartjuk, hogy a gyermekek tanuljanak meg csoportban dolgozni, elfogadni egymást, támogatni társaik munkáját, és vállaljanak felelősséget a közös munkáért is. A </w:t>
      </w:r>
      <w:r>
        <w:rPr>
          <w:rFonts w:ascii="Times New Roman" w:hAnsi="Times New Roman"/>
          <w:i/>
          <w:iCs/>
          <w:sz w:val="24"/>
          <w:szCs w:val="24"/>
        </w:rPr>
        <w:t>kooperatív csoportmunka</w:t>
      </w:r>
      <w:r>
        <w:rPr>
          <w:rFonts w:ascii="Times New Roman" w:hAnsi="Times New Roman"/>
          <w:sz w:val="24"/>
          <w:szCs w:val="24"/>
        </w:rPr>
        <w:t xml:space="preserve"> és a </w:t>
      </w:r>
      <w:r>
        <w:rPr>
          <w:rFonts w:ascii="Times New Roman" w:hAnsi="Times New Roman"/>
          <w:i/>
          <w:iCs/>
          <w:sz w:val="24"/>
          <w:szCs w:val="24"/>
        </w:rPr>
        <w:t>projekt- módszer</w:t>
      </w:r>
      <w:r>
        <w:rPr>
          <w:rFonts w:ascii="Times New Roman" w:hAnsi="Times New Roman"/>
          <w:sz w:val="24"/>
          <w:szCs w:val="24"/>
        </w:rPr>
        <w:t xml:space="preserve"> olyan tevékenységeket foglalnak magukba, amelyek ezt a célt szolgálják. (Ezek nem részei a Montessori pedagógiának.) Nem támogatjuk a versengés általi motiválását a gyerekeknek.</w:t>
      </w:r>
    </w:p>
    <w:p>
      <w:pPr>
        <w:pStyle w:val="Szvegtrzs1"/>
        <w:shd w:fill="FFFFFF" w:val="clear"/>
        <w:ind w:firstLine="645"/>
        <w:jc w:val="both"/>
        <w:rPr/>
      </w:pPr>
      <w:r>
        <w:rPr/>
      </w:r>
    </w:p>
    <w:p>
      <w:pPr>
        <w:pStyle w:val="Szvegtrzs1"/>
        <w:shd w:fill="FFFFFF" w:val="clear"/>
        <w:ind w:firstLine="645"/>
        <w:jc w:val="both"/>
        <w:rPr/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>Keresztyén értékrend és világszemlélet</w:t>
      </w:r>
      <w:r>
        <w:rPr>
          <w:rFonts w:ascii="Times New Roman" w:hAnsi="Times New Roman"/>
          <w:sz w:val="24"/>
          <w:szCs w:val="24"/>
        </w:rPr>
        <w:t xml:space="preserve"> kialakítására segítjük gyermekeinket, melyet pedagógusaink személyes életükkel példáznak és tesznek hitelessé. Ez nem csak erkölcsi nevelést jelent, hiszen Isten szeretetének a megismerése révén teljes értékű embernek tudhatja magát minden gyermek.</w:t>
      </w:r>
    </w:p>
    <w:p>
      <w:pPr>
        <w:pStyle w:val="Szvegtrzs1"/>
        <w:shd w:fill="FFFFFF" w:val="clear"/>
        <w:ind w:firstLine="645"/>
        <w:jc w:val="both"/>
        <w:rPr/>
      </w:pPr>
      <w:r>
        <w:rPr/>
      </w:r>
    </w:p>
    <w:p>
      <w:pPr>
        <w:pStyle w:val="Szvegtrzs1"/>
        <w:shd w:fill="FFFFFF" w:val="clear"/>
        <w:ind w:firstLine="645"/>
        <w:jc w:val="both"/>
        <w:rPr/>
      </w:pPr>
      <w:r>
        <w:rPr>
          <w:rFonts w:ascii="Times New Roman" w:hAnsi="Times New Roman"/>
          <w:sz w:val="24"/>
          <w:szCs w:val="24"/>
        </w:rPr>
        <w:t>Szemléletünk a református hitelveken alapszik. A Tóközi egyházközségre, mint az iskola alapító gyülekezetére, fontos szellemi-lelki partnerként tekintünk.</w:t>
      </w:r>
    </w:p>
    <w:p>
      <w:pPr>
        <w:pStyle w:val="Szvegtrzs1"/>
        <w:shd w:fill="FFFFFF" w:val="clear"/>
        <w:ind w:firstLine="645"/>
        <w:jc w:val="both"/>
        <w:rPr/>
      </w:pPr>
      <w:r>
        <w:rPr>
          <w:rFonts w:ascii="Times New Roman" w:hAnsi="Times New Roman"/>
          <w:sz w:val="24"/>
          <w:szCs w:val="24"/>
        </w:rPr>
        <w:t>Nem dogmatikus vallásosságra törekszünk, célunk a mindennapokban megélt hit, a bibliai gondolkodás és az imádságos lelkület támogatása.</w:t>
      </w:r>
    </w:p>
    <w:p>
      <w:pPr>
        <w:pStyle w:val="Szvegtrzs1"/>
        <w:shd w:fill="FFFFFF" w:val="clear"/>
        <w:ind w:firstLine="645"/>
        <w:jc w:val="both"/>
        <w:rPr/>
      </w:pPr>
      <w:r>
        <w:rPr>
          <w:rFonts w:ascii="Times New Roman" w:hAnsi="Times New Roman"/>
          <w:sz w:val="24"/>
          <w:szCs w:val="24"/>
        </w:rPr>
        <w:t>A heti áhítat és napi csend-kör: kapcsolattartás Istennel és egymással, lehetőség arra, hogy  - gyerekek és felnőttek együtt - mindennapi örömeinket, gondjainkat, kételyeinket megfogalmazzuk. Együtt imádkozunk - erre senkit nem kényszerítünk, de elvárás, hogy mindenki tiszteletben tartsa mások imádságát.</w:t>
      </w:r>
    </w:p>
    <w:p>
      <w:pPr>
        <w:pStyle w:val="Szvegtrzs1"/>
        <w:shd w:fill="FFFFFF" w:val="clear"/>
        <w:spacing w:lineRule="atLeast" w:line="100"/>
        <w:ind w:firstLine="735"/>
        <w:jc w:val="both"/>
        <w:rPr/>
      </w:pPr>
      <w:r>
        <w:rPr/>
      </w:r>
    </w:p>
    <w:p>
      <w:pPr>
        <w:pStyle w:val="Szvegtrzs1"/>
        <w:shd w:fill="FFFFFF" w:val="clear"/>
        <w:jc w:val="both"/>
        <w:rPr/>
      </w:pPr>
      <w:r>
        <w:rPr/>
      </w:r>
    </w:p>
    <w:p>
      <w:pPr>
        <w:pStyle w:val="Szvegtrzs1"/>
        <w:shd w:fill="FFFFFF" w:val="clear"/>
        <w:jc w:val="both"/>
        <w:rPr/>
      </w:pPr>
      <w:r>
        <w:rPr/>
      </w:r>
    </w:p>
    <w:p>
      <w:pPr>
        <w:pStyle w:val="Szvegtrzs1"/>
        <w:shd w:fill="FFFFFF" w:val="clear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Sajátosságaink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>Módszerek, munkaformák:</w:t>
      </w:r>
    </w:p>
    <w:p>
      <w:pPr>
        <w:pStyle w:val="Szvegtrzs1"/>
        <w:numPr>
          <w:ilvl w:val="0"/>
          <w:numId w:val="1"/>
        </w:numPr>
        <w:shd w:fill="FFFFFF" w:val="clear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b/>
          <w:bCs/>
          <w:sz w:val="24"/>
          <w:szCs w:val="24"/>
        </w:rPr>
        <w:t>előkészített környezet</w:t>
      </w:r>
      <w:r>
        <w:rPr>
          <w:rFonts w:ascii="Times New Roman" w:hAnsi="Times New Roman"/>
          <w:sz w:val="24"/>
          <w:szCs w:val="24"/>
        </w:rPr>
        <w:t xml:space="preserve"> fontos szerepet játszik a tanulási-tanítási folyamatban. Ez zömében </w:t>
      </w:r>
      <w:r>
        <w:rPr>
          <w:rFonts w:ascii="Times New Roman" w:hAnsi="Times New Roman"/>
          <w:b/>
          <w:bCs/>
          <w:sz w:val="24"/>
          <w:szCs w:val="24"/>
        </w:rPr>
        <w:t>Montessori eszközök</w:t>
      </w:r>
      <w:r>
        <w:rPr>
          <w:rFonts w:ascii="Times New Roman" w:hAnsi="Times New Roman"/>
          <w:sz w:val="24"/>
          <w:szCs w:val="24"/>
        </w:rPr>
        <w:t xml:space="preserve"> nyitott polcon való elhelyezését jelenti, valamint a gyermekek olyan módon való ültetését, hogy ez az önálló tanulásnak megfeleljen.</w:t>
      </w:r>
    </w:p>
    <w:p>
      <w:pPr>
        <w:pStyle w:val="Szvegtrzs1"/>
        <w:numPr>
          <w:ilvl w:val="0"/>
          <w:numId w:val="1"/>
        </w:numPr>
        <w:shd w:fill="FFFFFF" w:val="clea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Napi-terv </w:t>
      </w:r>
      <w:r>
        <w:rPr>
          <w:rFonts w:ascii="Times New Roman" w:hAnsi="Times New Roman"/>
          <w:sz w:val="24"/>
          <w:szCs w:val="24"/>
        </w:rPr>
        <w:t>vagy</w:t>
      </w:r>
      <w:r>
        <w:rPr>
          <w:rFonts w:ascii="Times New Roman" w:hAnsi="Times New Roman"/>
          <w:b/>
          <w:bCs/>
          <w:sz w:val="24"/>
          <w:szCs w:val="24"/>
        </w:rPr>
        <w:t xml:space="preserve"> heti-terv</w:t>
      </w:r>
      <w:r>
        <w:rPr>
          <w:rFonts w:ascii="Times New Roman" w:hAnsi="Times New Roman"/>
          <w:sz w:val="24"/>
          <w:szCs w:val="24"/>
        </w:rPr>
        <w:t xml:space="preserve"> szerint dolgozunk (0-4. oszt.), amit a pedagógus állít össze, figyelembe véve a gyerek egyéni képességeit, előzetes megfigyelések alapján a szenzibilis szakaszait, a munkabírását, és a tanulás lebontott céljait. A gyermek választja meg a feladatainak a sorrendjét, egy adott feladattípuson belül, esetleg a gyakorlatok mennyiségét. </w:t>
      </w:r>
    </w:p>
    <w:p>
      <w:pPr>
        <w:pStyle w:val="Szvegtrzs1"/>
        <w:numPr>
          <w:ilvl w:val="0"/>
          <w:numId w:val="1"/>
        </w:numPr>
        <w:shd w:fill="FFFFFF" w:val="clea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0-4 osztályban a gyerekek iskolai tevékenységének legalább 60%-a, a gimnáziumi osztályokban legalább 30%-a </w:t>
      </w:r>
      <w:r>
        <w:rPr>
          <w:rFonts w:ascii="Times New Roman" w:hAnsi="Times New Roman"/>
          <w:b/>
          <w:bCs/>
          <w:sz w:val="24"/>
          <w:szCs w:val="24"/>
        </w:rPr>
        <w:t>önálló tevékenység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zvegtrzs1"/>
        <w:numPr>
          <w:ilvl w:val="0"/>
          <w:numId w:val="1"/>
        </w:numPr>
        <w:shd w:fill="FFFFFF" w:val="clea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Ezen kívül gyakran alkalmazzuk a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projekt-módszert</w:t>
      </w:r>
      <w:r>
        <w:rPr>
          <w:rFonts w:ascii="Times New Roman" w:hAnsi="Times New Roman"/>
          <w:sz w:val="24"/>
          <w:szCs w:val="24"/>
          <w:lang w:val="de-DE"/>
        </w:rPr>
        <w:t xml:space="preserve">, illetve a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kooperatív csoportmunkát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sz w:val="24"/>
          <w:szCs w:val="24"/>
        </w:rPr>
        <w:t>Ennek érdekében projekt-heteket szervezünk az iskolában.</w:t>
      </w:r>
    </w:p>
    <w:p>
      <w:pPr>
        <w:pStyle w:val="Szvegtrzs1"/>
        <w:numPr>
          <w:ilvl w:val="0"/>
          <w:numId w:val="1"/>
        </w:numPr>
        <w:shd w:fill="FFFFFF" w:val="clea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gyermekek szisztematikus megfigyelésének részeként periodikusan ellenőrizzük őket, és az eszközökkel való munkájukat számon tartjuk. Megfigyeléseinket a félévi egyéni szülői értekezletek keretében megbeszéljük a szülőkkel.</w:t>
      </w:r>
    </w:p>
    <w:p>
      <w:pPr>
        <w:pStyle w:val="Szvegtrzs1"/>
        <w:shd w:fill="FFFFFF" w:val="clear"/>
        <w:jc w:val="both"/>
        <w:rPr/>
      </w:pPr>
      <w:r>
        <w:rPr/>
      </w:r>
    </w:p>
    <w:p>
      <w:pPr>
        <w:pStyle w:val="Szvegtrzs1"/>
        <w:shd w:fill="FFFFFF" w:val="clear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Szervezési formák:</w:t>
      </w:r>
    </w:p>
    <w:p>
      <w:pPr>
        <w:pStyle w:val="Szvegtrzs1"/>
        <w:numPr>
          <w:ilvl w:val="0"/>
          <w:numId w:val="1"/>
        </w:numPr>
        <w:shd w:fill="FFFFFF" w:val="clear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Évfolyamok szerint</w:t>
      </w:r>
      <w:r>
        <w:rPr>
          <w:rFonts w:ascii="Times New Roman" w:hAnsi="Times New Roman"/>
          <w:sz w:val="24"/>
          <w:szCs w:val="24"/>
        </w:rPr>
        <w:t xml:space="preserve">i osztályközösségekben dolgozunk. Alkalmanként vegyes életkori csoportokban szervezünk tevékenységeket. </w:t>
      </w:r>
    </w:p>
    <w:p>
      <w:pPr>
        <w:pStyle w:val="Szvegtrzs1"/>
        <w:numPr>
          <w:ilvl w:val="0"/>
          <w:numId w:val="1"/>
        </w:numPr>
        <w:shd w:fill="FFFFFF" w:val="clea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Tantárgy-specifikus órarend</w:t>
      </w:r>
      <w:r>
        <w:rPr>
          <w:rFonts w:ascii="Times New Roman" w:hAnsi="Times New Roman"/>
          <w:sz w:val="24"/>
          <w:szCs w:val="24"/>
        </w:rPr>
        <w:t xml:space="preserve"> szerint folyik az oktatás, amelyben viszont bizonyos tantárgyakat tömbökben tanítunk (anyanyelv, matematika, román nyelv)</w:t>
      </w:r>
    </w:p>
    <w:p>
      <w:pPr>
        <w:pStyle w:val="Szvegtrzs1"/>
        <w:numPr>
          <w:ilvl w:val="0"/>
          <w:numId w:val="1"/>
        </w:numPr>
        <w:shd w:fill="FFFFFF" w:val="clea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Minden nap </w:t>
      </w:r>
      <w:r>
        <w:rPr>
          <w:rFonts w:ascii="Times New Roman" w:hAnsi="Times New Roman"/>
          <w:b/>
          <w:bCs/>
          <w:sz w:val="24"/>
          <w:szCs w:val="24"/>
        </w:rPr>
        <w:t>csendkör</w:t>
      </w:r>
      <w:r>
        <w:rPr>
          <w:rFonts w:ascii="Times New Roman" w:hAnsi="Times New Roman"/>
          <w:sz w:val="24"/>
          <w:szCs w:val="24"/>
        </w:rPr>
        <w:t xml:space="preserve">rel kezdődik, amelyen helyet talál a montessoris csend-gyakorlat, de áhítat és imádság, közös éneklés is. </w:t>
      </w:r>
    </w:p>
    <w:p>
      <w:pPr>
        <w:pStyle w:val="Szvegtrzs1"/>
        <w:numPr>
          <w:ilvl w:val="0"/>
          <w:numId w:val="1"/>
        </w:numPr>
        <w:shd w:fill="FFFFFF" w:val="clear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Naponta kétszer </w:t>
      </w:r>
      <w:r>
        <w:rPr>
          <w:rFonts w:ascii="Times New Roman" w:hAnsi="Times New Roman"/>
          <w:b/>
          <w:bCs/>
          <w:sz w:val="24"/>
          <w:szCs w:val="24"/>
        </w:rPr>
        <w:t>közösen étkeznek</w:t>
      </w:r>
      <w:r>
        <w:rPr>
          <w:rFonts w:ascii="Times New Roman" w:hAnsi="Times New Roman"/>
          <w:sz w:val="24"/>
          <w:szCs w:val="24"/>
        </w:rPr>
        <w:t xml:space="preserve"> a gyerekek a pedagógussal, ez a kétszer 10 perc is imával kezdődik és zárul.</w:t>
      </w:r>
    </w:p>
    <w:p>
      <w:pPr>
        <w:pStyle w:val="Szvegtrzs1"/>
        <w:shd w:fill="FFFFFF" w:val="clear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Feladat:</w:t>
      </w:r>
      <w:r>
        <w:rPr>
          <w:rFonts w:ascii="Times New Roman" w:hAnsi="Times New Roman"/>
          <w:sz w:val="24"/>
          <w:szCs w:val="24"/>
        </w:rPr>
        <w:t xml:space="preserve"> Igéket keresni étkezéshez, és imákat reggeli csendkörhöz. </w:t>
      </w:r>
    </w:p>
    <w:p>
      <w:pPr>
        <w:pStyle w:val="Szvegtrzs1"/>
        <w:shd w:fill="FFFFFF" w:val="clear"/>
        <w:ind w:left="690" w:hanging="0"/>
        <w:jc w:val="both"/>
        <w:rPr/>
      </w:pPr>
      <w:r>
        <w:rPr/>
      </w:r>
    </w:p>
    <w:p>
      <w:pPr>
        <w:pStyle w:val="Szvegtrzs1"/>
        <w:shd w:fill="FFFFFF" w:val="clear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Kettős értékelés:</w:t>
      </w:r>
    </w:p>
    <w:p>
      <w:pPr>
        <w:pStyle w:val="Szvegtrzs1"/>
        <w:numPr>
          <w:ilvl w:val="0"/>
          <w:numId w:val="1"/>
        </w:numPr>
        <w:shd w:fill="FFFFFF" w:val="clea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Lebontott </w:t>
      </w:r>
      <w:r>
        <w:rPr>
          <w:rFonts w:ascii="Times New Roman" w:hAnsi="Times New Roman"/>
          <w:b/>
          <w:bCs/>
          <w:sz w:val="24"/>
          <w:szCs w:val="24"/>
        </w:rPr>
        <w:t>értékelési lap</w:t>
      </w:r>
      <w:r>
        <w:rPr>
          <w:rFonts w:ascii="Times New Roman" w:hAnsi="Times New Roman"/>
          <w:sz w:val="24"/>
          <w:szCs w:val="24"/>
        </w:rPr>
        <w:t xml:space="preserve">ot kapnak a gyerekek félév végén. </w:t>
      </w:r>
      <w:r>
        <w:rPr>
          <w:rFonts w:ascii="Times New Roman" w:hAnsi="Times New Roman"/>
          <w:b/>
          <w:bCs/>
          <w:sz w:val="24"/>
          <w:szCs w:val="24"/>
        </w:rPr>
        <w:t>Szóbeli visszajelzés</w:t>
      </w:r>
      <w:r>
        <w:rPr>
          <w:rFonts w:ascii="Times New Roman" w:hAnsi="Times New Roman"/>
          <w:sz w:val="24"/>
          <w:szCs w:val="24"/>
        </w:rPr>
        <w:t xml:space="preserve">t a gyermekek folyamatosan kapnak, amelyben a tanító, ill. tanár a gyermekek </w:t>
      </w:r>
      <w:r>
        <w:rPr>
          <w:rFonts w:ascii="Times New Roman" w:hAnsi="Times New Roman"/>
          <w:b/>
          <w:bCs/>
          <w:sz w:val="24"/>
          <w:szCs w:val="24"/>
        </w:rPr>
        <w:t>erőfeszítéseit és teljesítményét</w:t>
      </w:r>
      <w:r>
        <w:rPr>
          <w:rFonts w:ascii="Times New Roman" w:hAnsi="Times New Roman"/>
          <w:sz w:val="24"/>
          <w:szCs w:val="24"/>
        </w:rPr>
        <w:t xml:space="preserve"> értékeli egyéni képességeikhez mérten. </w:t>
      </w:r>
      <w:r>
        <w:rPr>
          <w:rFonts w:ascii="Times New Roman" w:hAnsi="Times New Roman"/>
          <w:b/>
          <w:bCs/>
          <w:sz w:val="24"/>
          <w:szCs w:val="24"/>
        </w:rPr>
        <w:t>Minősítéseink nem a gyermek személyiségére, adottságaira vonatkoznak</w:t>
      </w:r>
      <w:r>
        <w:rPr>
          <w:rFonts w:ascii="Times New Roman" w:hAnsi="Times New Roman"/>
          <w:sz w:val="24"/>
          <w:szCs w:val="24"/>
        </w:rPr>
        <w:t xml:space="preserve">. A gyermekek teljesítményét </w:t>
      </w:r>
      <w:r>
        <w:rPr>
          <w:rFonts w:ascii="Times New Roman" w:hAnsi="Times New Roman"/>
          <w:b/>
          <w:bCs/>
          <w:sz w:val="24"/>
          <w:szCs w:val="24"/>
        </w:rPr>
        <w:t>nem hasonlítgatjuk</w:t>
      </w:r>
      <w:r>
        <w:rPr>
          <w:rFonts w:ascii="Times New Roman" w:hAnsi="Times New Roman"/>
          <w:sz w:val="24"/>
          <w:szCs w:val="24"/>
        </w:rPr>
        <w:t>, a minősítéseket, jegyeket diszkréten kezeljük.</w:t>
      </w:r>
    </w:p>
    <w:p>
      <w:pPr>
        <w:pStyle w:val="Szvegtrzs1"/>
        <w:numPr>
          <w:ilvl w:val="0"/>
          <w:numId w:val="1"/>
        </w:numPr>
        <w:shd w:fill="FFFFFF" w:val="clea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Bejelentett témazáró felmérőket írnak a gyerekek, ezekre jegyeket kapnak. A napi ismeretek értékelésére “kis jegyeket” alkalmazhatunk. A jegyet kizárólag a tudás, ill. a befektetett munka értékelésére használjuk (rögtönzés, bejelentett írásbeli felmérő, szóbeli felelés, projektmunka értékelése, portfólió stb.) Félév végén más iskolákhoz hasonlóan lezárjuk a gyerekeket.</w:t>
      </w:r>
    </w:p>
    <w:p>
      <w:pPr>
        <w:pStyle w:val="Szvegtrzs1"/>
        <w:shd w:fill="FFFFFF" w:val="clear"/>
        <w:jc w:val="both"/>
        <w:rPr/>
      </w:pPr>
      <w:r>
        <w:rPr/>
      </w:r>
    </w:p>
    <w:p>
      <w:pPr>
        <w:pStyle w:val="Szvegtrzs1"/>
        <w:shd w:fill="FFFFFF" w:val="clear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Tanterv:</w:t>
      </w:r>
    </w:p>
    <w:p>
      <w:pPr>
        <w:pStyle w:val="Szvegtrzs1"/>
        <w:shd w:fill="FFFFFF" w:val="clear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Az állam által megszabott tantervet követjük</w:t>
      </w:r>
      <w:r>
        <w:rPr>
          <w:rFonts w:ascii="Times New Roman" w:hAnsi="Times New Roman"/>
          <w:sz w:val="24"/>
          <w:szCs w:val="24"/>
        </w:rPr>
        <w:t>, a következő megjegyzéssel:</w:t>
      </w:r>
    </w:p>
    <w:p>
      <w:pPr>
        <w:pStyle w:val="Szvegtrzs1"/>
        <w:numPr>
          <w:ilvl w:val="0"/>
          <w:numId w:val="1"/>
        </w:numPr>
        <w:shd w:fill="FFFFFF" w:val="clear"/>
        <w:jc w:val="both"/>
        <w:rPr/>
      </w:pPr>
      <w:r>
        <w:rPr>
          <w:rFonts w:ascii="Times New Roman" w:hAnsi="Times New Roman"/>
          <w:sz w:val="24"/>
          <w:szCs w:val="24"/>
        </w:rPr>
        <w:t xml:space="preserve">Mivel a gyerekek </w:t>
      </w:r>
      <w:r>
        <w:rPr>
          <w:rFonts w:ascii="Times New Roman" w:hAnsi="Times New Roman"/>
          <w:b/>
          <w:bCs/>
          <w:sz w:val="24"/>
          <w:szCs w:val="24"/>
        </w:rPr>
        <w:t>egyéni ritmusához igazodunk</w:t>
      </w:r>
      <w:r>
        <w:rPr>
          <w:rFonts w:ascii="Times New Roman" w:hAnsi="Times New Roman"/>
          <w:sz w:val="24"/>
          <w:szCs w:val="24"/>
        </w:rPr>
        <w:t xml:space="preserve">, egy osztályon belül nem mindig ugyanazzal foglalkozik mindenki. Az </w:t>
      </w:r>
      <w:r>
        <w:rPr>
          <w:rFonts w:ascii="Times New Roman" w:hAnsi="Times New Roman"/>
          <w:b/>
          <w:bCs/>
          <w:sz w:val="24"/>
          <w:szCs w:val="24"/>
        </w:rPr>
        <w:t>önálló munkára épített tanulás-tanítási folyamat</w:t>
      </w:r>
      <w:r>
        <w:rPr>
          <w:rFonts w:ascii="Times New Roman" w:hAnsi="Times New Roman"/>
          <w:sz w:val="24"/>
          <w:szCs w:val="24"/>
        </w:rPr>
        <w:t xml:space="preserve"> ezt lehetővé teszi, és nem hátráltatja a gyerekeket a tanulásban, hanem a készségek alaposabb begyakorlását teszi lehetővé. (Előfordulhat, hogy egy gyerek a saját korosztályához képest előbb vagy hátrébb tart a tananyaggal. Ha a lemaradás nagyon nagy és a saját képességekhez mért fejlődés nagyon kicsi, akkor javasolhatjuk az évismétlést.)</w:t>
      </w:r>
    </w:p>
    <w:p>
      <w:pPr>
        <w:pStyle w:val="Szvegtrzs1"/>
        <w:widowControl/>
        <w:shd w:fill="FFFFFF" w:val="clear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tLeast" w:line="20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40" w:right="1190" w:header="708" w:top="1134" w:footer="708" w:bottom="77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ejlcslblc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ejlcslblc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9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2.%3."/>
      <w:lvlJc w:val="left"/>
      <w:pPr>
        <w:ind w:left="212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2.%3.%4."/>
      <w:lvlJc w:val="left"/>
      <w:pPr>
        <w:ind w:left="2836" w:hanging="31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2.%3.%4.%5."/>
      <w:lvlJc w:val="left"/>
      <w:pPr>
        <w:ind w:left="3545" w:hanging="30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2.%3.%4.%5.%6."/>
      <w:lvlJc w:val="left"/>
      <w:pPr>
        <w:ind w:left="4254" w:hanging="29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2.%3.%4.%5.%6.%7."/>
      <w:lvlJc w:val="left"/>
      <w:pPr>
        <w:ind w:left="4963" w:hanging="2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2.%3.%4.%5.%6.%7.%8."/>
      <w:lvlJc w:val="left"/>
      <w:pPr>
        <w:ind w:left="5672" w:hanging="27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2.%3.%4.%5.%6.%7.%8.%9."/>
      <w:lvlJc w:val="left"/>
      <w:pPr>
        <w:ind w:left="6381" w:hanging="2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3"/>
  <w:defaultTabStop w:val="709"/>
  <w:autoHyphenation w:val="fals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6e32"/>
    <w:pPr>
      <w:widowControl w:val="false"/>
      <w:pBdr/>
      <w:suppressAutoHyphens w:val="true"/>
      <w:bidi w:val="0"/>
      <w:jc w:val="left"/>
    </w:pPr>
    <w:rPr>
      <w:rFonts w:eastAsia="Times New Roman" w:ascii="Times New Roman" w:hAnsi="Times New Roman" w:cs="Times New Roman"/>
      <w:color w:val="000000"/>
      <w:kern w:val="2"/>
      <w:sz w:val="24"/>
      <w:szCs w:val="24"/>
      <w:u w:val="none" w:color="00000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sid w:val="00676e32"/>
    <w:rPr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b63a2"/>
    <w:rPr>
      <w:rFonts w:ascii="Tahoma" w:hAnsi="Tahoma" w:eastAsia="Times New Roman" w:cs="Tahoma"/>
      <w:color w:val="000000"/>
      <w:kern w:val="2"/>
      <w:sz w:val="16"/>
      <w:szCs w:val="16"/>
      <w:u w:val="none" w:color="000000"/>
    </w:rPr>
  </w:style>
  <w:style w:type="character" w:styleId="ListLabel1">
    <w:name w:val="ListLabel 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2">
    <w:name w:val="ListLabel 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3">
    <w:name w:val="ListLabel 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4">
    <w:name w:val="ListLabel 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5">
    <w:name w:val="ListLabel 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6">
    <w:name w:val="ListLabel 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7">
    <w:name w:val="ListLabel 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8">
    <w:name w:val="ListLabel 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9">
    <w:name w:val="ListLabel 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10">
    <w:name w:val="ListLabel 10"/>
    <w:qFormat/>
    <w:rPr>
      <w:rFonts w:ascii="Times New Roman" w:hAnsi="Times New Roman"/>
      <w:b/>
      <w:b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">
    <w:name w:val="ListLabel 1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12">
    <w:name w:val="ListLabel 1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13">
    <w:name w:val="ListLabel 1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14">
    <w:name w:val="ListLabel 1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15">
    <w:name w:val="ListLabel 1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16">
    <w:name w:val="ListLabel 1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17">
    <w:name w:val="ListLabel 1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18">
    <w:name w:val="ListLabel 1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19">
    <w:name w:val="ListLabel 19"/>
    <w:qFormat/>
    <w:rPr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20">
    <w:name w:val="ListLabel 20"/>
    <w:qFormat/>
    <w:rPr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21">
    <w:name w:val="ListLabel 21"/>
    <w:qFormat/>
    <w:rPr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22">
    <w:name w:val="ListLabel 22"/>
    <w:qFormat/>
    <w:rPr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23">
    <w:name w:val="ListLabel 23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4">
    <w:name w:val="ListLabel 2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5">
    <w:name w:val="ListLabel 25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6">
    <w:name w:val="ListLabel 26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7">
    <w:name w:val="ListLabel 27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8">
    <w:name w:val="ListLabel 28"/>
    <w:qFormat/>
    <w:rPr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29">
    <w:name w:val="ListLabel 29"/>
    <w:qFormat/>
    <w:rPr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30">
    <w:name w:val="ListLabel 30"/>
    <w:qFormat/>
    <w:rPr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31">
    <w:name w:val="ListLabel 31"/>
    <w:qFormat/>
    <w:rPr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32">
    <w:name w:val="ListLabel 32"/>
    <w:qFormat/>
    <w:rPr>
      <w:rFonts w:ascii="Times New Roman" w:hAnsi="Times New Roman"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">
    <w:name w:val="ListLabel 33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4">
    <w:name w:val="ListLabel 3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5">
    <w:name w:val="ListLabel 35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6">
    <w:name w:val="ListLabel 36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7">
    <w:name w:val="ListLabel 37"/>
    <w:qFormat/>
    <w:rPr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38">
    <w:name w:val="ListLabel 38"/>
    <w:qFormat/>
    <w:rPr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39">
    <w:name w:val="ListLabel 39"/>
    <w:qFormat/>
    <w:rPr>
      <w:rFonts w:ascii="Helvetica" w:hAnsi="Helvetica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">
    <w:name w:val="ListLabel 40"/>
    <w:qFormat/>
    <w:rPr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41">
    <w:name w:val="ListLabel 4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2">
    <w:name w:val="ListLabel 42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3">
    <w:name w:val="ListLabel 43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4">
    <w:name w:val="ListLabel 4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5">
    <w:name w:val="ListLabel 45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6">
    <w:name w:val="ListLabel 46"/>
    <w:qFormat/>
    <w:rPr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47">
    <w:name w:val="ListLabel 47"/>
    <w:qFormat/>
    <w:rPr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48">
    <w:name w:val="ListLabel 48"/>
    <w:qFormat/>
    <w:rPr>
      <w:rFonts w:ascii="Times New Roman" w:hAnsi="Times New Roman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vertAlign w:val="baseline"/>
    </w:rPr>
  </w:style>
  <w:style w:type="character" w:styleId="ListLabel49">
    <w:name w:val="ListLabel 49"/>
    <w:qFormat/>
    <w:rPr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vertAlign w:val="baseline"/>
    </w:rPr>
  </w:style>
  <w:style w:type="character" w:styleId="ListLabel50">
    <w:name w:val="ListLabel 50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51">
    <w:name w:val="ListLabel 5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52">
    <w:name w:val="ListLabel 52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53">
    <w:name w:val="ListLabel 53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54">
    <w:name w:val="ListLabel 5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ejlcslblc" w:customStyle="1">
    <w:name w:val="Fejléc és lábléc"/>
    <w:qFormat/>
    <w:rsid w:val="00676e32"/>
    <w:pPr>
      <w:widowControl/>
      <w:tabs>
        <w:tab w:val="clear" w:pos="709"/>
        <w:tab w:val="right" w:pos="9020" w:leader="none"/>
      </w:tabs>
      <w:bidi w:val="0"/>
      <w:jc w:val="left"/>
    </w:pPr>
    <w:rPr>
      <w:rFonts w:ascii="Helvetica" w:hAnsi="Helvetica" w:cs="Arial Unicode MS" w:eastAsia="Arial Unicode MS"/>
      <w:color w:val="000000"/>
      <w:kern w:val="0"/>
      <w:sz w:val="24"/>
      <w:szCs w:val="24"/>
      <w:lang w:val="en-US" w:eastAsia="en-US" w:bidi="ar-SA"/>
    </w:rPr>
  </w:style>
  <w:style w:type="paragraph" w:styleId="Szvegtrzs1" w:customStyle="1">
    <w:name w:val="Szövegtörzs1"/>
    <w:qFormat/>
    <w:rsid w:val="00676e32"/>
    <w:pPr>
      <w:widowControl w:val="false"/>
      <w:shd w:val="clear" w:color="auto" w:fill="FFFFFF"/>
      <w:suppressAutoHyphens w:val="true"/>
      <w:bidi w:val="0"/>
      <w:spacing w:lineRule="auto" w:line="276"/>
      <w:jc w:val="left"/>
    </w:pPr>
    <w:rPr>
      <w:rFonts w:ascii="Arial" w:hAnsi="Arial" w:cs="Arial Unicode MS" w:eastAsia="Arial Unicode MS"/>
      <w:color w:val="000000"/>
      <w:kern w:val="2"/>
      <w:sz w:val="22"/>
      <w:szCs w:val="22"/>
      <w:u w:val="none" w:color="00000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63a2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importltstlus" w:customStyle="1">
    <w:name w:val="1. importált stílus"/>
    <w:qFormat/>
    <w:rsid w:val="00676e32"/>
  </w:style>
  <w:style w:type="numbering" w:styleId="1importltstlus0" w:customStyle="1">
    <w:name w:val="1. importált stílus.0"/>
    <w:qFormat/>
    <w:rsid w:val="00676e32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LibreOffice/6.1.2.1$Windows_X86_64 LibreOffice_project/65905a128db06ba48db947242809d14d3f9a93fe</Application>
  <Pages>2</Pages>
  <Words>610</Words>
  <Characters>4262</Characters>
  <CharactersWithSpaces>4838</CharactersWithSpaces>
  <Paragraphs>28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2017-10-04T10:19:00Z</dcterms:created>
  <dc:creator/>
  <dc:description/>
  <dc:language>en-US</dc:language>
  <cp:lastModifiedBy/>
  <dcterms:modified xsi:type="dcterms:W3CDTF">2019-07-22T16:50:20Z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